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ind w:firstLine="567"/>
        <w:jc w:val="left"/>
        <w:spacing w:line="240" w:lineRule="auto"/>
        <w:shd w:val="clear" w:color="ffffff" w:themeColor="background1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Доклад:</w:t>
      </w:r>
      <w:r>
        <w:rPr>
          <w:b/>
          <w:sz w:val="28"/>
          <w:szCs w:val="28"/>
        </w:rPr>
      </w:r>
    </w:p>
    <w:p>
      <w:pPr>
        <w:pStyle w:val="674"/>
        <w:ind w:firstLine="567"/>
        <w:jc w:val="center"/>
        <w:spacing w:line="240" w:lineRule="auto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о</w:t>
      </w:r>
      <w:r>
        <w:rPr>
          <w:b/>
          <w:sz w:val="28"/>
          <w:szCs w:val="28"/>
        </w:rPr>
        <w:t xml:space="preserve">собенност</w:t>
      </w:r>
      <w:r>
        <w:rPr>
          <w:b/>
          <w:sz w:val="28"/>
          <w:szCs w:val="28"/>
        </w:rPr>
        <w:t xml:space="preserve">ях</w:t>
      </w:r>
      <w:r>
        <w:rPr>
          <w:b/>
          <w:sz w:val="28"/>
          <w:szCs w:val="28"/>
        </w:rPr>
        <w:t xml:space="preserve"> разрешительной деятельности</w:t>
      </w:r>
      <w:r>
        <w:rPr>
          <w:b/>
          <w:sz w:val="28"/>
          <w:szCs w:val="28"/>
        </w:rPr>
        <w:t xml:space="preserve"> в сфере предоставления государственных услуг».</w:t>
      </w:r>
      <w:r>
        <w:rPr>
          <w:b/>
          <w:sz w:val="28"/>
          <w:szCs w:val="28"/>
        </w:rPr>
        <w:t xml:space="preserve"> 20.02.2025г.</w:t>
      </w:r>
      <w:r>
        <w:rPr>
          <w:b/>
          <w:sz w:val="28"/>
          <w:szCs w:val="28"/>
        </w:rPr>
      </w:r>
    </w:p>
    <w:p>
      <w:pPr>
        <w:pStyle w:val="674"/>
        <w:ind w:firstLine="567"/>
        <w:jc w:val="center"/>
        <w:spacing w:line="240" w:lineRule="auto"/>
        <w:shd w:val="clear" w:color="ffffff" w:themeColor="background1" w:fill="ffffff" w:themeFill="background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Забайкальское управление Ростехнадзора </w:t>
      </w:r>
      <w:r>
        <w:rPr>
          <w:b/>
          <w:sz w:val="28"/>
          <w:szCs w:val="28"/>
        </w:rPr>
      </w:r>
      <w:r/>
    </w:p>
    <w:p>
      <w:pPr>
        <w:pStyle w:val="674"/>
        <w:jc w:val="center"/>
        <w:spacing w:line="240" w:lineRule="auto"/>
        <w:shd w:val="clear" w:color="ffffff" w:themeColor="background1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contextualSpacing w:val="0"/>
        <w:jc w:val="center"/>
        <w:spacing w:before="0" w:after="144" w:line="283" w:lineRule="atLeast"/>
        <w:shd w:val="clear" w:color="ffffff" w:themeColor="background1" w:fill="ffffff" w:themeFill="background1"/>
        <w:rPr>
          <w:rFonts w:eastAsia="Times New Roman" w:cs="Times New Roman"/>
          <w:lang w:eastAsia="ru-RU"/>
        </w:rPr>
        <w:outlineLvl w:val="0"/>
        <w:suppressLineNumbers w:val="0"/>
      </w:pPr>
      <w:r>
        <w:rPr>
          <w:rFonts w:eastAsia="Times New Roman" w:cs="Times New Roman"/>
          <w:bCs/>
          <w:szCs w:val="28"/>
          <w:lang w:eastAsia="ru-RU"/>
        </w:rPr>
        <w:t xml:space="preserve">Отдельные особенности разрешительных режимов в сфере промышленной безопасности продлены на 2025 год</w:t>
      </w:r>
      <w:r>
        <w:rPr>
          <w:rFonts w:eastAsia="Times New Roman" w:cs="Times New Roman"/>
          <w:bCs/>
          <w:szCs w:val="28"/>
        </w:rPr>
      </w:r>
    </w:p>
    <w:p>
      <w:pPr>
        <w:contextualSpacing w:val="0"/>
        <w:jc w:val="left"/>
        <w:spacing w:before="0" w:after="144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4"/>
          <w:szCs w:val="24"/>
          <w:highlight w:val="none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 xml:space="preserve">1 января 2024      </w:t>
      </w:r>
      <w:hyperlink r:id="rId9" w:tooltip="http://docs.cntd.ru/document/1304469362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u w:val="single"/>
            <w:lang w:eastAsia="ru-RU"/>
          </w:rPr>
          <w:t xml:space="preserve">Постановлением Правительства РФ от 23.12.2023 N 2269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 xml:space="preserve"> внесены </w:t>
      </w:r>
      <w:hyperlink r:id="rId10" w:tooltip="http://docs.cntd.ru/document/1304469362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u w:val="single"/>
            <w:lang w:eastAsia="ru-RU"/>
          </w:rPr>
          <w:t xml:space="preserve">изменения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 xml:space="preserve"> в </w:t>
      </w:r>
      <w:hyperlink r:id="rId11" w:tooltip="http://docs.cntd.ru/document/728461969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u w:val="single"/>
            <w:lang w:eastAsia="ru-RU"/>
          </w:rPr>
          <w:t xml:space="preserve">постановление Правительства РФ от 12.03.2022 N 353 "Об особенностях разрешительной деятельности в Российской Федерации"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Согласно </w:t>
      </w:r>
      <w:hyperlink r:id="rId12" w:tooltip="http://docs.cntd.ru/document/1304469362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u w:val="single"/>
            <w:lang w:eastAsia="ru-RU"/>
          </w:rPr>
          <w:t xml:space="preserve">изменениям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 xml:space="preserve"> В 2025, как и 2024  году у Ростехнадзора сохранится возможность предусматривать </w:t>
      </w:r>
      <w:hyperlink r:id="rId13" w:tooltip="http://docs.cntd.ru/document/728461969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u w:val="single"/>
            <w:lang w:eastAsia="ru-RU"/>
          </w:rPr>
          <w:t xml:space="preserve">особенности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1) осуществления ряда разрешительных режимов, среди которых: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аттестация работников в области промышленной безопасности, по вопросам безопасности гидротехнических сооружений (ГТС) и безопасности в сфере электроэнергетики;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регистрация опасных производственных объектов (ОПО);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согласование планов и схем развития горных работ;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согласование правил эксплуатации ГТС;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аттестация экспертов в области промышленной безопасности;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утверждение декларации безопасности ГТС;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госрегистрация и учёт ГТС;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внесение в реестр деклараций промышленной безопасности;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2) лицензирования отдельных видов деятельности, к которым относятся: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производство маркшейдерских работ;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- эксплуатация взрывопожароопасных и химически опасных производственных объектов I, II и III классов опасности;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 w:val="0"/>
          <w:sz w:val="24"/>
          <w:szCs w:val="24"/>
          <w:lang w:eastAsia="ru-RU"/>
        </w:rPr>
        <w:t xml:space="preserve">     - деятел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ьность по проведению экспертизы промышленной безопасности;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- деятельность, связанная с обращением взрывчатых материалов промышленного назначения.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 До 2030 года в отношении лицензируемых Ростехнадзором видов деятельности и иных предусмотренных разрешений не требуется п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ереоформлять разрешения или вносить изменения в реестр разрешений по просьбе заявителя в случае: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- изменения места нахождения юридического лица или места жительства индивидуального предпринимателя;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- изменения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индекса;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- переименования юридического лица или реорганизации юридического лица в форме преобразования, слияния либо присоединения.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 В 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 лицензируемых Ростехн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адзором видов деятельности не требуется оплата госпошлин в рамках оказания госуслуг за предоставление лицензии, внесение изменений в реестр лицензий или продление срока действия лицензии по заявлениям, поданным с 1 января 2024 года по 31 декабря 2029 года.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left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     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 До 2030 года заявление на получение выписки из реестра разрешений в единой универсальной форме </w:t>
      </w:r>
      <w:hyperlink r:id="rId14" w:tooltip="http://docs.cntd.ru/document/728461969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highlight w:val="none"/>
            <w:u w:val="single"/>
            <w:lang w:eastAsia="ru-RU"/>
          </w:rPr>
          <w:t xml:space="preserve">может подаваться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 с использованием Единого портала госуслуг.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 На период до 31 декабря 2024 года сохранено действие норм, согласно которым: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1) первичная аттестация в области промышленной безопасности, по вопросам безопасности ГТС и безопасности в сфере электроэнергетики проводится в срок не позднее 3 месяцев со дня назначения работника на соответствующую должность и при других </w:t>
      </w:r>
      <w:hyperlink r:id="rId15" w:tooltip="http://docs.cntd.ru/document/728461969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highlight w:val="none"/>
            <w:u w:val="single"/>
            <w:lang w:eastAsia="ru-RU"/>
          </w:rPr>
          <w:t xml:space="preserve">предусмотренных обстоятельствах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2) если срок очередного прохождения дополнительного профессионального образования в области промышленной безопасности (ДПО) наступает в период приостановления трудового договора с работником по основаниям, предусмотренным </w:t>
      </w:r>
      <w:hyperlink r:id="rId16" w:tooltip="http://docs.cntd.ru/document/901807664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highlight w:val="none"/>
            <w:u w:val="single"/>
            <w:lang w:eastAsia="ru-RU"/>
          </w:rPr>
          <w:t xml:space="preserve">статьей 351_7 Трудового кодекса РФ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, то такой срок должен быть продлён на время приостановления 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действия трудового договора и следующие 3 месяца, исчисляемые со дня его возобновления.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При этом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 если срок очередного прохождения ДПО наступит в течение первых 2 месяцев со дня возобновления действия ранее приостановленного трудового договора, на прохождение ДПО должно быть предоставлено ещё 3 месяца;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3) допускается осуществление деятельности по проведению экспертиз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ы промышленной безопасности при условии наличия в штате лицензиата как минимум одного эксперта в области промышленной безопасности, если в отношении иных находящихся в штате лицензиата экспертов действие трудового договора приостановлено в соответствии со </w:t>
      </w:r>
      <w:hyperlink r:id="rId17" w:tooltip="http://docs.cntd.ru/document/901807664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highlight w:val="none"/>
            <w:u w:val="single"/>
            <w:lang w:eastAsia="ru-RU"/>
          </w:rPr>
          <w:t xml:space="preserve">статьей 351_7 Трудового</w:t>
        </w:r>
        <w:r>
          <w:rPr>
            <w:rFonts w:ascii="Times New Roman" w:hAnsi="Times New Roman" w:eastAsia="Times New Roman" w:cs="Times New Roman"/>
            <w:b w:val="0"/>
            <w:sz w:val="24"/>
            <w:szCs w:val="24"/>
            <w:highlight w:val="none"/>
            <w:u w:val="single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sz w:val="24"/>
            <w:szCs w:val="24"/>
            <w:highlight w:val="none"/>
            <w:u w:val="single"/>
            <w:lang w:eastAsia="ru-RU"/>
          </w:rPr>
          <w:t xml:space="preserve">кодекса РФ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br/>
        <w:t xml:space="preserve">     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4) осуществление лицензиатом деятельности по эксплуатации взрывопожароопасных и химически опасных производственных объектов I, II и III классов опасности в случае приостановления им в соответствии со </w:t>
      </w:r>
      <w:hyperlink r:id="rId18" w:tooltip="http://docs.cntd.ru/document/901807664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highlight w:val="none"/>
            <w:u w:val="single"/>
            <w:lang w:eastAsia="ru-RU"/>
          </w:rPr>
          <w:t xml:space="preserve">статьей 351_7 Трудового кодекса РФ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 действия трудового договора, заключённого с работником, наличие которого является </w:t>
      </w:r>
      <w:hyperlink r:id="rId19" w:tooltip="http://docs.cntd.ru/document/565995401" w:history="1">
        <w:r>
          <w:rPr>
            <w:rFonts w:ascii="Times New Roman" w:hAnsi="Times New Roman" w:eastAsia="Times New Roman" w:cs="Times New Roman"/>
            <w:b w:val="0"/>
            <w:sz w:val="24"/>
            <w:szCs w:val="24"/>
            <w:highlight w:val="none"/>
            <w:u w:val="single"/>
            <w:lang w:eastAsia="ru-RU"/>
          </w:rPr>
          <w:t xml:space="preserve">лицензионным требованием</w:t>
        </w:r>
      </w:hyperlink>
      <w:r>
        <w:rPr>
          <w:rFonts w:ascii="Times New Roman" w:hAnsi="Times New Roman" w:eastAsia="Times New Roman" w:cs="Times New Roman"/>
          <w:b w:val="0"/>
          <w:sz w:val="24"/>
          <w:szCs w:val="24"/>
          <w:highlight w:val="none"/>
          <w:lang w:eastAsia="ru-RU"/>
        </w:rPr>
        <w:t xml:space="preserve">, не может рассматриваться как нарушение такого требования в течение 3 месяцев со дня приостановления действия трудового договора.</w:t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</w:p>
    <w:p>
      <w:pPr>
        <w:ind w:left="0" w:right="0" w:firstLine="0"/>
        <w:jc w:val="center"/>
        <w:spacing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Лицензирование отдельных видов деятельности. </w:t>
      </w:r>
      <w:r>
        <w:rPr>
          <w:rFonts w:ascii="Times New Roman" w:hAnsi="Times New Roman" w:eastAsia="Times New Roman" w:cs="Times New Roman"/>
          <w:b/>
          <w:bCs/>
          <w:color w:val="333333"/>
          <w:sz w:val="36"/>
          <w:szCs w:val="36"/>
          <w:highlight w:val="none"/>
        </w:rPr>
      </w:r>
    </w:p>
    <w:p>
      <w:pPr>
        <w:contextualSpacing w:val="0"/>
        <w:ind w:left="0" w:right="0" w:firstLine="0"/>
        <w:jc w:val="both"/>
        <w:keepLines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С 1 марта 2025 года вступает в силу Постановление Правительства РФ от 21.10.2024 № 1410, которое вносит изменения в Положение, утверждённое постановлением Правительства РФ от 12.10.2020 № 1661 «О лицензировании эксплуатации взрывопожароопасных и химически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опасных производственных объектов I, II и III классов опасности».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С 1 марта 2025 года при подаче заявления для получения лицензии больше не потребуется прилагать копии документов, будет достаточно их реквизитов. Также сокращается перечень сведений, подаваемых с заявлением.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Аттестация в области промышленной безопасности.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333333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С 1 января 2025 года увеличился размер государственной пошлины: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120"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выдача выписки из протокола — с 1300 до 2000 рублей;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120"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внесение изменений в протокол из-за изменения ФИО — с 350 до 500 рублей.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120"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 процедуре аттестации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. С 1 марта 2025 года изменятся сроки: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120"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уведомление о дате аттестации — 3 дня после получения заявления вместо 5;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120"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уведомление об изменении даты аттестации — 3 дня после получения заявления вместо 5;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120"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назначение даты тестирования — 10 дней со дня направления уведомления;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120"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уведомление о результатах на бумажном носителе — 3 дня вместо 5;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27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  <w:szCs w:val="24"/>
          <w:highlight w:val="none"/>
        </w:rPr>
        <w:t xml:space="preserve">аттестация в ведомственных или территориальных комиссиях — 5 дней со дня получения з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  <w:szCs w:val="24"/>
          <w:highlight w:val="none"/>
        </w:rPr>
        <w:t xml:space="preserve">аявления через «Госуслуги» или ЕПТ вместо 15.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Помимо сроков, с 1 марта в положение об аттестации внесли следующие изменения: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27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•      уточнили категории, которым обязательна аттестация, – это ИТР, на которых возложено руководство производственной деятельностью, а не просто работники;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27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•      перечень областей утверждает Ростехнадзор, а вопросы тестирования – центральная аттестационная комиссия;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27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•      заявление о проведении аттестации можно будет подписывать усиленной неквалифицированной подписью.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120"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Экспертиза промышленной безопасности.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57" w:lineRule="atLeast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1 марта 2025 года Ростехнадзор обновляет процедуру проведения экспертизы промбезопасности, выдвигая следующие требования: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r>
      <w:r/>
    </w:p>
    <w:p>
      <w:pPr>
        <w:pStyle w:val="630"/>
        <w:contextualSpacing w:val="0"/>
        <w:ind w:left="0" w:right="0" w:firstLine="0"/>
        <w:jc w:val="left"/>
        <w:spacing w:before="900" w:after="600"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1.    Учреждения, имеющие лицензию на проведение экспертизы промышленной безопасности, не смогут ее проводить для объектов, которые они сами разработали.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30"/>
        <w:contextualSpacing w:val="0"/>
        <w:ind w:left="0" w:right="0" w:firstLine="0"/>
        <w:jc w:val="left"/>
        <w:spacing w:before="900" w:after="60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2.    Экспертная организация должна назначить экспертов.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left"/>
        <w:spacing w:before="270" w:after="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3.    Требование о предоставлении безопасного доступа к техническим устройствам на опасном производственном объекте будет распространяться не только на заказчика проведения экспертизы, но и на всех специалистов, участвующих в технической диагностике.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270" w:after="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4.    Вместо расчетных и аналитических процедур оценки и прогнозирования технического состояния технических устройств будет проводиться их осмотр.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270" w:after="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5.    При проведении экспертизы зданий и сооружений необходимо будет провести анализ результатов их осмотра.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270" w:after="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6.    Заключение эксперта в электронном формате можно будет подписывать усиленной квалифицированной электронной подписью (УКЭП) или усиленной неквалифицированной электронной подписью (УНЭП).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270" w:after="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7.    В заключении экспертизы необходимо указывать, если отсутствует техническая документация на технические устройства или проектная документация на здания или сооружения.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270" w:after="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8.    Заказчик экспертизы должен предоставить в Ростехнадзор оформленные результаты экспертизы в течение 30 дней с момента подписания документа руководителем организации, которая проводила экспертизу.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270" w:after="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9.    Заключение экспертизы, которое было признано заведомо ложным, будет исключено из реестра заключений не позднее, чем через 30 дней с даты вступления в силу решения о признании заключения ложным.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after="12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12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</w:rPr>
        <w:t xml:space="preserve">Допуск электроустановок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before="0" w:after="120"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С 1 марта 2025 года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изменены некоторые положения о допуске электроустановок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. Это предусмотрено постановлением Правительства России от 4 декабря 2024 года №1711.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12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Например, с этого момента заявление о выдаче разрешения на допуск и прилагаемые к нему документы можно подавать в орган федерального государственного энергетического надзора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одним из двух способов по выбору заявителя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668"/>
        <w:numPr>
          <w:ilvl w:val="0"/>
          <w:numId w:val="13"/>
        </w:numPr>
        <w:contextualSpacing w:val="0"/>
        <w:ind w:right="0"/>
        <w:jc w:val="left"/>
        <w:spacing w:before="120" w:after="12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на бумажном носителе непосредственно или посредством заказного почтового отправления с уведомлением о вручении;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668"/>
        <w:numPr>
          <w:ilvl w:val="0"/>
          <w:numId w:val="13"/>
        </w:numPr>
        <w:contextualSpacing w:val="0"/>
        <w:ind w:right="0"/>
        <w:jc w:val="left"/>
        <w:spacing w:after="120" w:line="283" w:lineRule="atLeas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 виде электронного документа, подписанного усиленной квалифицированной электронной подписью (если заявителем является юридическое лицо) или простой электронной подписью (если заявителем является физическое лицо).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120"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Также с 1 марта 2025 года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изменён пункт 23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 правил, согласно которому орган федерального государственного энергетического надзора в течение 20 рабочих дней (для заявления о выдаче временного разрешения), 10 рабочих дней (для заявления о выдаче разрешения на допуск) или 7 рабочих дней (если ранее вы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дано временное разрешение) рассматривает заявление и проводит осмотр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допуска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емог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о объекта и проверку документов.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contextualSpacing w:val="0"/>
        <w:jc w:val="left"/>
        <w:spacing w:before="0" w:after="0" w:line="283" w:lineRule="atLeast"/>
        <w:shd w:val="clear" w:color="ffffff" w:themeColor="background1" w:fill="ffffff" w:themeFill="background1"/>
        <w:rPr>
          <w:b w:val="0"/>
          <w:bCs w:val="0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Правительство утвердило </w:t>
      </w:r>
      <w:hyperlink r:id="rId20" w:tooltip="https://login.consultant.ru/link/?req=doc&amp;base=LAW&amp;n=492493&amp;dst=100009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поправки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к правилам,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по которым разрешают эксплуатировать энергопринимающие и теплопотребляющие установки, объекты теплоснабжения и производства электроэнергии. По общему правилу соответствие допускаемого объекта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нормам </w:t>
      </w:r>
      <w:hyperlink r:id="rId21" w:tooltip="https://login.consultant.ru/link/?req=doc&amp;base=LAW&amp;n=492493&amp;dst=100011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будет удостоверять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запись в реестре, а не разрешение. Скорректировали перечень документов для допуска и сроки отдельных процедур.</w:t>
      </w:r>
      <w:r>
        <w:rPr>
          <w:color w:val="000000" w:themeColor="text1"/>
          <w:sz w:val="24"/>
          <w:szCs w:val="24"/>
        </w:rPr>
      </w:r>
      <w:r>
        <w:rPr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К заявлению о выдаче разрешения на допуск в эксплуатацию </w:t>
      </w:r>
      <w:hyperlink r:id="rId22" w:tooltip="https://login.consultant.ru/link/?req=doc&amp;base=LAW&amp;n=492493&amp;dst=100023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потребуется приложить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доверенность на того, кто подписал его (если в информсистеме нотариата нет сведений о полномочиях), или указать ее реквизиты. Не придется представлять копии: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668"/>
        <w:numPr>
          <w:ilvl w:val="0"/>
          <w:numId w:val="15"/>
        </w:numPr>
        <w:contextualSpacing w:val="0"/>
        <w:ind w:right="0"/>
        <w:jc w:val="left"/>
        <w:spacing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заключения о соответствии построенного объекта проектной документации;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668"/>
        <w:numPr>
          <w:ilvl w:val="0"/>
          <w:numId w:val="15"/>
        </w:numPr>
        <w:contextualSpacing w:val="0"/>
        <w:ind w:right="0"/>
        <w:jc w:val="left"/>
        <w:spacing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документов о зарегистрированных в ЕГРН правах на допускаемые объекты или землю (вместо этого понадобится указать их кадастровые номера).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left"/>
        <w:spacing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Уведомлять о том, принято ли бумажное заявление, будут в течение </w:t>
      </w:r>
      <w:hyperlink r:id="rId23" w:tooltip="https://login.consultant.ru/link/?req=doc&amp;base=LAW&amp;n=492493&amp;dst=100052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2 рабочих дней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(пока на это отведено </w:t>
      </w:r>
      <w:hyperlink r:id="rId24" w:tooltip="https://login.consultant.ru/link/?req=doc&amp;base=LAW&amp;n=439185&amp;dst=100116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5 рабочих дней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left"/>
        <w:keepLines/>
        <w:spacing w:before="0" w:after="0"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Решение о выдаче временного разрешения примут за </w:t>
      </w:r>
      <w:hyperlink r:id="rId25" w:tooltip="https://login.consultant.ru/link/?req=doc&amp;base=LAW&amp;n=492493&amp;dst=100070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10 рабочих дней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вместо </w:t>
      </w:r>
      <w:hyperlink r:id="rId26" w:tooltip="https://login.consultant.ru/link/?req=doc&amp;base=LAW&amp;n=439185&amp;dst=9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20 рабочих </w:t>
        </w:r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дней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 Продлевать разрешение на срок до 90 суток или отказывать в этом будут в течение </w:t>
      </w:r>
      <w:hyperlink r:id="rId27" w:tooltip="https://login.consultant.ru/link/?req=doc&amp;base=LAW&amp;n=492493&amp;dst=100083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3 рабочих дней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 Объекты с таким разрешением осмотрят за </w:t>
      </w:r>
      <w:hyperlink r:id="rId28" w:tooltip="https://login.consultant.ru/link/?req=doc&amp;base=LAW&amp;n=492493&amp;dst=100072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4 рабочих дня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, а не за </w:t>
      </w:r>
      <w:hyperlink r:id="rId29" w:tooltip="https://login.consultant.ru/link/?req=doc&amp;base=LAW&amp;n=439185&amp;dst=100127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3 рабочих дня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, как сейчас.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contextualSpacing w:val="0"/>
        <w:ind w:left="0" w:right="0" w:firstLine="0"/>
        <w:jc w:val="left"/>
        <w:keepLines/>
        <w:spacing w:before="0" w:after="0"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Определили, в какой срок хозяйствующие субъекты, подавшие заявление через портал Госуслуг, смогут подтвердить дату и время осмотра допускаемого объекта по предложению Ростехнадзора или выбрать более позднюю дату. Он составит </w:t>
      </w:r>
      <w:hyperlink r:id="rId30" w:tooltip="https://login.consultant.ru/link/?req=doc&amp;base=LAW&amp;n=492493&amp;dst=100067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3 рабочих дня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/>
    </w:p>
    <w:p>
      <w:pPr>
        <w:contextualSpacing w:val="0"/>
        <w:ind w:left="0" w:right="0" w:firstLine="0"/>
        <w:jc w:val="left"/>
        <w:keepLines/>
        <w:spacing w:before="0" w:after="0" w:line="283" w:lineRule="atLeast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Кроме того, указали </w:t>
      </w:r>
      <w:hyperlink r:id="rId31" w:tooltip="https://login.consultant.ru/link/?req=doc&amp;base=LAW&amp;n=492493&amp;dst=100055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оснований, по которым заявление оставят без рассмотрения, а также утвердили </w:t>
      </w:r>
      <w:hyperlink r:id="rId32" w:tooltip="https://login.consultant.ru/link/?req=doc&amp;base=LAW&amp;n=492493&amp;dst=100092&amp;demo=1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single"/>
          </w:rPr>
          <w:t xml:space="preserve">правила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выдачи выписки из реестра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shd w:val="clear" w:color="ffffff" w:themeColor="background1" w:fill="ffffff" w:themeFill="background1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b/>
          <w:sz w:val="28"/>
          <w:szCs w:val="28"/>
        </w:rPr>
      </w:r>
      <w:r>
        <w:rPr>
          <w:sz w:val="24"/>
          <w:szCs w:val="24"/>
        </w:rPr>
        <w:t xml:space="preserve">Единый портал Государственных и муниципальных услуг .</w:t>
      </w:r>
      <w:r/>
      <w:r>
        <w:rPr>
          <w:b/>
          <w:sz w:val="28"/>
          <w:szCs w:val="28"/>
        </w:rPr>
        <w:t xml:space="preserve">ЕПГУ</w:t>
      </w:r>
      <w:r>
        <w:rPr>
          <w:b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/>
    </w:p>
    <w:p>
      <w:pPr>
        <w:pStyle w:val="673"/>
        <w:jc w:val="both"/>
        <w:spacing w:line="240" w:lineRule="auto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 2022 году Ростехнадзором была</w:t>
      </w:r>
      <w:r>
        <w:rPr>
          <w:sz w:val="24"/>
          <w:szCs w:val="24"/>
        </w:rPr>
        <w:t xml:space="preserve"> реализована возможность оказания государственных услуг как при подаче документов в Управление, так и через Единый портал Государственных и муниципальных услуг (ЕПГУ). </w:t>
      </w:r>
      <w:r>
        <w:rPr>
          <w:sz w:val="24"/>
          <w:szCs w:val="24"/>
        </w:rPr>
      </w:r>
    </w:p>
    <w:p>
      <w:pPr>
        <w:pStyle w:val="673"/>
        <w:jc w:val="both"/>
        <w:spacing w:line="240" w:lineRule="auto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Подача документов через ЕПГУ не только упрощает заявител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м процедуру подачи документов и получение данных о результатах государственных услуг, но и существенно сокращает сроки рассмотрения документов, в том числе за счет мгновенной регистрации документов в системе. </w:t>
      </w:r>
      <w:r>
        <w:rPr>
          <w:sz w:val="24"/>
          <w:szCs w:val="24"/>
        </w:rPr>
      </w:r>
    </w:p>
    <w:p>
      <w:pPr>
        <w:pStyle w:val="673"/>
        <w:jc w:val="both"/>
        <w:spacing w:line="240" w:lineRule="auto"/>
        <w:shd w:val="clear" w:color="ffffff" w:themeColor="background1" w:fill="ffffff" w:themeFill="background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Примеры изменения сроков: </w:t>
      </w:r>
      <w:r>
        <w:rPr>
          <w:sz w:val="24"/>
          <w:szCs w:val="24"/>
          <w:u w:val="single"/>
        </w:rPr>
      </w:r>
    </w:p>
    <w:p>
      <w:pPr>
        <w:pStyle w:val="673"/>
        <w:ind w:firstLine="567"/>
        <w:jc w:val="both"/>
        <w:spacing w:line="240" w:lineRule="auto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Срок внесения заключения экспертизы промышленной безопасности составляет всего 4 рабочих дня с даты подачи документов через ЕПГУ. </w:t>
      </w:r>
      <w:r>
        <w:rPr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 xml:space="preserve">Срок регистрации опасных производственных объектов осуществляются в срок, не превышающий 5 рабочих дней в случае: использования стационарно установленных грузо</w:t>
      </w:r>
      <w:r>
        <w:rPr>
          <w:b w:val="0"/>
          <w:sz w:val="24"/>
          <w:szCs w:val="24"/>
        </w:rPr>
        <w:t xml:space="preserve">подъемных механизмов (при отсутствия иных признаков опасности на ОПО); использования котлов передвижных и транспортабельных установок; ведения буровых работ с использованием буровых установок для геологического изучения недр, добычи углеводородного сырья).</w:t>
      </w:r>
      <w:r>
        <w:rPr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 xml:space="preserve">Срок предоставления лицензии на эксплуатации взрывопожароопасных и химически опасных производственных объектов I, II и III классов опасно</w:t>
      </w:r>
      <w:r>
        <w:rPr>
          <w:b w:val="0"/>
          <w:sz w:val="24"/>
          <w:szCs w:val="24"/>
        </w:rPr>
        <w:t xml:space="preserve">сти сокращен до 23 рабочих дней;</w:t>
      </w:r>
      <w:r>
        <w:rPr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- С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рок принятия решений о предоставлении лицензии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на производство маркшейдерских работ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составляет 10 рабочих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дней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со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дня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приема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соответствующего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заявления.</w:t>
      </w:r>
      <w:r>
        <w:rPr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полномочия </w:t>
      </w:r>
      <w:r>
        <w:rPr>
          <w:b w:val="0"/>
          <w:sz w:val="24"/>
          <w:szCs w:val="24"/>
        </w:rPr>
        <w:t xml:space="preserve">Забайкальско</w:t>
      </w:r>
      <w:r>
        <w:rPr>
          <w:b w:val="0"/>
          <w:sz w:val="24"/>
          <w:szCs w:val="24"/>
        </w:rPr>
        <w:t xml:space="preserve">го</w:t>
      </w:r>
      <w:r>
        <w:rPr>
          <w:b w:val="0"/>
          <w:sz w:val="24"/>
          <w:szCs w:val="24"/>
        </w:rPr>
        <w:t xml:space="preserve"> управлени</w:t>
      </w:r>
      <w:r>
        <w:rPr>
          <w:b w:val="0"/>
          <w:sz w:val="24"/>
          <w:szCs w:val="24"/>
        </w:rPr>
        <w:t xml:space="preserve">я</w:t>
      </w:r>
      <w:r>
        <w:rPr>
          <w:b w:val="0"/>
          <w:sz w:val="24"/>
          <w:szCs w:val="24"/>
        </w:rPr>
        <w:t xml:space="preserve"> Ростехнадзора </w:t>
      </w:r>
      <w:r>
        <w:rPr>
          <w:b w:val="0"/>
          <w:sz w:val="24"/>
          <w:szCs w:val="24"/>
        </w:rPr>
        <w:t xml:space="preserve">входит оказание 14 государственны</w:t>
      </w:r>
      <w:r>
        <w:rPr>
          <w:b w:val="0"/>
          <w:sz w:val="24"/>
          <w:szCs w:val="24"/>
        </w:rPr>
        <w:t xml:space="preserve">х</w:t>
      </w:r>
      <w:r>
        <w:rPr>
          <w:b w:val="0"/>
          <w:sz w:val="24"/>
          <w:szCs w:val="24"/>
        </w:rPr>
        <w:t xml:space="preserve"> услуг</w:t>
      </w:r>
      <w:r>
        <w:rPr>
          <w:b w:val="0"/>
          <w:sz w:val="24"/>
          <w:szCs w:val="24"/>
        </w:rPr>
        <w:t xml:space="preserve"> и функций</w:t>
      </w:r>
      <w:r>
        <w:rPr>
          <w:b w:val="0"/>
          <w:sz w:val="24"/>
          <w:szCs w:val="24"/>
        </w:rPr>
        <w:t xml:space="preserve">.</w:t>
      </w:r>
      <w:r>
        <w:rPr>
          <w:b w:val="0"/>
          <w:sz w:val="24"/>
          <w:szCs w:val="24"/>
        </w:rPr>
      </w:r>
    </w:p>
    <w:p>
      <w:pPr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Информируем, что </w:t>
      </w:r>
      <w:r>
        <w:rPr>
          <w:b w:val="0"/>
          <w:sz w:val="24"/>
          <w:szCs w:val="24"/>
        </w:rPr>
        <w:t xml:space="preserve">с 1 марта вступило в силу </w:t>
      </w:r>
      <w:r>
        <w:rPr>
          <w:b w:val="0"/>
          <w:sz w:val="24"/>
          <w:szCs w:val="24"/>
        </w:rPr>
        <w:t xml:space="preserve">п</w:t>
      </w:r>
      <w:r>
        <w:rPr>
          <w:b w:val="0"/>
          <w:sz w:val="24"/>
          <w:szCs w:val="24"/>
        </w:rPr>
        <w:t xml:space="preserve">остановление</w:t>
      </w:r>
      <w:r>
        <w:rPr>
          <w:b w:val="0"/>
          <w:sz w:val="24"/>
          <w:szCs w:val="24"/>
        </w:rPr>
        <w:t xml:space="preserve"> Правительства Российской Федерации от 20.10.2023 № 1868 «О внесении изменений в Положение о лицензировании производства маркшейдерских работ»</w:t>
      </w:r>
      <w:r>
        <w:rPr>
          <w:b w:val="0"/>
          <w:sz w:val="24"/>
          <w:szCs w:val="24"/>
        </w:rPr>
        <w:t xml:space="preserve">, утвержденное постановлением Правительства Российской Федерации от 16 сентября 2020 № 1467.</w:t>
      </w:r>
      <w:r>
        <w:rPr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Обращаем внимание, что пунктом 3 Постановления № 1868 срок начала подпунктов «а» и «б» пункта 4 Положения ПМ в части касающейся дополнительного образования в области промышленной безопасности изменен </w:t>
      </w:r>
      <w:r>
        <w:rPr>
          <w:b w:val="0"/>
          <w:sz w:val="24"/>
          <w:szCs w:val="24"/>
        </w:rPr>
        <w:t xml:space="preserve">– </w:t>
      </w:r>
      <w:r>
        <w:rPr>
          <w:b w:val="0"/>
          <w:sz w:val="24"/>
          <w:szCs w:val="24"/>
          <w:u w:val="single"/>
        </w:rPr>
        <w:t xml:space="preserve">до  01.03.2025 года не применяется.</w:t>
      </w:r>
      <w:r>
        <w:rPr>
          <w:b w:val="0"/>
          <w:sz w:val="24"/>
          <w:szCs w:val="24"/>
          <w:u w:val="single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Кроме того, с даты вступления в силу новой редакции Положения ПМ:</w:t>
      </w:r>
      <w:r>
        <w:rPr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rFonts w:eastAsia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к</w:t>
      </w:r>
      <w:r>
        <w:rPr>
          <w:b w:val="0"/>
          <w:sz w:val="24"/>
          <w:szCs w:val="24"/>
        </w:rPr>
        <w:t xml:space="preserve"> соискателю лицензии (лицензиату) на производство маркшейдерских работ не будет предъявляться требование об организации производственного контроля за соблюдением требований промышленной безопасности</w:t>
      </w:r>
      <w:r>
        <w:rPr>
          <w:b w:val="0"/>
          <w:sz w:val="24"/>
          <w:szCs w:val="24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при ведении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горных работ в соответствии с Федеральным законом от 21.07.1997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№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116-ФЗ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«О промышленной безопасности опасных производственных объектов»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и установленными требованиями в области производства маркшейдерских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работ;</w:t>
      </w:r>
      <w:r>
        <w:rPr>
          <w:rFonts w:eastAsia="Times New Roman" w:cs="Times New Roman"/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- дл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я получения лицензии соискатель лицензии представляет в Ростехнадзор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только заявление с указанием видов (перечня) работ (услуг), составляющих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лицензируемую деятельность и планируемых к выполнению на объектах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недропользования, оформленное в соответствии с частью 1 статьи13Федерального закона от 04.05.2011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№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99-ФЗ «О лицензировании отдельных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видов деятельности» – копии документов и сведения, подтверждающие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соответствие соискателя лицензии лицензионным требованиям,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к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заявлению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не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прикладываются;</w:t>
      </w:r>
      <w:r>
        <w:rPr>
          <w:rFonts w:eastAsia="Times New Roman" w:cs="Times New Roman"/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rFonts w:eastAsia="Times New Roman"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при намерении лицензиата выполнять работы (оказывать услуги),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составляющие лицензируемую деятельность, не предусмотренные реестром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лицензий, в заявлении о внесении изменений в реестр лицензий указываются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наименования этих работ (услуг), перечень адресов мест, по которым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предполагается выполнять работы (оказывать услуги) – копии документов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и сведений, подтверждающих соответствие лицензиата лицензионным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требованиям, к заявлению также не прикладываются;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         -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заявления о предоставлении лицензии и о внесении изменений в реестр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лицензий представляются в лицензирующий орган только в виде электронного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документа, подписанного усиленной квалифицированной электронной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подписью, посредством федеральной государственной информационной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системы «Единый портал государственных и муниципальных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услуг(функций)»,кроме того, оформление всех документов в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рамках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предоставления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государственной услуги по лицензированию производства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маркшейдерских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работ осуществляется в электронной форме;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        -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срок принятия решений о предоставлении лицензии (об отказе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  <w:t xml:space="preserve">в предоставлении лицензии), внесении изменений в реестр лицензий (об отказе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во внесении изменений в реестр лицензий) при намерении лицензиата выполнять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работы (оказывать услуги), составляющие лицензируемую деятельность,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не предусмотренные реестром лицензий, составляет 10 рабочих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дней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со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дня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приема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соответствующего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заявления;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        -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при намерении лицензиата выполнять работы (оказывать услуги),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  <w:t xml:space="preserve">составляющие лицензируемую деятельность, не предусмотренные реестром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  <w:t xml:space="preserve">лицензий выездная оценка его соответствия лицензионным требованиям (в том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числе без фактического выезда) не проводится – в указанном случае проводится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только документарная оценка;</w:t>
      </w:r>
      <w:r>
        <w:rPr>
          <w:rFonts w:eastAsia="Times New Roman" w:cs="Times New Roman"/>
          <w:b w:val="0"/>
          <w:sz w:val="24"/>
          <w:szCs w:val="24"/>
        </w:rPr>
      </w:r>
    </w:p>
    <w:p>
      <w:pPr>
        <w:ind w:firstLine="567"/>
        <w:jc w:val="both"/>
        <w:spacing w:before="0" w:after="0" w:line="240" w:lineRule="auto"/>
        <w:shd w:val="clear" w:color="ffffff" w:themeColor="background1" w:fill="ffffff" w:themeFill="background1"/>
        <w:rPr>
          <w:rFonts w:cs="Times New Roman"/>
          <w:b w:val="0"/>
          <w:sz w:val="24"/>
          <w:szCs w:val="24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выездная оценка проводится только в отношении соискателя лицензии,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  <w:t xml:space="preserve">при этом такая оценка соответствия проводится без фактического выезда</w:t>
      </w:r>
      <w:r>
        <w:rPr>
          <w:rFonts w:eastAsia="Times New Roman" w:cs="Times New Roman"/>
          <w:b w:val="0"/>
          <w:sz w:val="24"/>
          <w:szCs w:val="24"/>
          <w:lang w:eastAsia="ru-RU"/>
        </w:rPr>
        <w:br/>
        <w:t xml:space="preserve">должностного лица по месту нахождения соискателя лицензии и (или) по месту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осуществления лицензируемого вида деятельности (порядок ее проведения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определен пунктом 12 новой редакции Положения ПМ).</w:t>
      </w:r>
      <w:r>
        <w:rPr>
          <w:rFonts w:cs="Times New Roman"/>
          <w:b w:val="0"/>
          <w:sz w:val="24"/>
          <w:szCs w:val="24"/>
        </w:rPr>
      </w:r>
    </w:p>
    <w:p>
      <w:pPr>
        <w:ind w:left="0" w:right="0" w:firstLine="0"/>
        <w:jc w:val="left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Преимущества получения государственных услуг в электронной форме через </w:t>
      </w:r>
      <w:hyperlink r:id="rId33" w:tooltip="http://www.gosuslugi.ru/" w:history="1">
        <w:r>
          <w:rPr>
            <w:rStyle w:val="669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highlight w:val="white"/>
            <w:u w:val="none"/>
          </w:rPr>
          <w:t xml:space="preserve">Единый портал государственных и муниципальных услуг/функций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:</w:t>
        <w:br/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Интернет);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уменьшаются финансовые издержки граждан и юридических лиц;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отсутствие очередей;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снижаются коррупционные риски.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jc w:val="both"/>
        <w:spacing w:before="0" w:after="0" w:line="240" w:lineRule="auto"/>
        <w:shd w:val="clear" w:color="ffffff" w:themeColor="background1" w:fill="ffffff" w:themeFill="background1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spacing w:before="0" w:after="0" w:line="360" w:lineRule="auto"/>
        <w:shd w:val="clear" w:color="ffffff" w:themeColor="background1" w:fill="ffffff" w:themeFill="background1"/>
        <w:rPr>
          <w:b w:val="0"/>
          <w:bCs w:val="0"/>
          <w:highlight w:val="none"/>
        </w:rPr>
      </w:pPr>
      <w:r>
        <w:rPr>
          <w:b w:val="0"/>
          <w:szCs w:val="28"/>
        </w:rPr>
        <w:t xml:space="preserve">Спасибо за внимание!</w:t>
      </w:r>
      <w:r/>
      <w:r/>
      <w:r/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spacing w:before="0" w:after="0" w:line="360" w:lineRule="auto"/>
        <w:shd w:val="clear" w:color="ffffff" w:themeColor="background1" w:fill="ffffff" w:themeFill="background1"/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8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isLgl w:val="false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isLgl w:val="false"/>
      <w:suff w:val="space"/>
      <w:lvlText w:val=""/>
      <w:lvlJc w:val="left"/>
      <w:pPr>
        <w:ind w:left="0" w:firstLine="709"/>
      </w:pPr>
      <w:rPr>
        <w:rFonts w:hint="default" w:ascii="Symbol" w:hAnsi="Symbol"/>
      </w:rPr>
    </w:lvl>
    <w:lvl w:ilvl="3">
      <w:start w:val="1"/>
      <w:numFmt w:val="none"/>
      <w:isLgl w:val="false"/>
      <w:suff w:val="tab"/>
      <w:lvlText w:val="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8"/>
    <w:link w:val="62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8"/>
    <w:link w:val="63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8"/>
    <w:link w:val="63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8"/>
    <w:link w:val="63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8"/>
    <w:link w:val="63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8"/>
    <w:link w:val="63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8"/>
    <w:link w:val="6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8"/>
    <w:link w:val="63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8"/>
    <w:link w:val="637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8"/>
    <w:link w:val="656"/>
    <w:uiPriority w:val="10"/>
    <w:rPr>
      <w:sz w:val="48"/>
      <w:szCs w:val="48"/>
    </w:rPr>
  </w:style>
  <w:style w:type="character" w:styleId="37">
    <w:name w:val="Subtitle Char"/>
    <w:basedOn w:val="638"/>
    <w:link w:val="66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8"/>
    <w:link w:val="42"/>
    <w:uiPriority w:val="99"/>
  </w:style>
  <w:style w:type="paragraph" w:styleId="44">
    <w:name w:val="Footer"/>
    <w:basedOn w:val="62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8"/>
    <w:link w:val="44"/>
    <w:uiPriority w:val="99"/>
  </w:style>
  <w:style w:type="paragraph" w:styleId="46">
    <w:name w:val="Caption"/>
    <w:basedOn w:val="628"/>
    <w:next w:val="62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pPr>
      <w:jc w:val="center"/>
      <w:spacing w:before="480" w:after="480"/>
    </w:pPr>
    <w:rPr>
      <w:rFonts w:ascii="Times New Roman" w:hAnsi="Times New Roman"/>
      <w:b/>
      <w:sz w:val="28"/>
    </w:rPr>
  </w:style>
  <w:style w:type="paragraph" w:styleId="629">
    <w:name w:val="Heading 1"/>
    <w:basedOn w:val="628"/>
    <w:next w:val="628"/>
    <w:link w:val="643"/>
    <w:uiPriority w:val="9"/>
    <w:qFormat/>
    <w:pPr>
      <w:ind w:firstLine="709"/>
      <w:jc w:val="both"/>
      <w:keepLines/>
      <w:keepNext/>
      <w:spacing w:before="0" w:after="0" w:line="312" w:lineRule="auto"/>
      <w:outlineLvl w:val="0"/>
    </w:pPr>
    <w:rPr>
      <w:rFonts w:eastAsiaTheme="majorEastAsia" w:cstheme="majorBidi"/>
      <w:b w:val="0"/>
      <w:bCs/>
      <w:szCs w:val="28"/>
    </w:rPr>
  </w:style>
  <w:style w:type="paragraph" w:styleId="630">
    <w:name w:val="Heading 2"/>
    <w:basedOn w:val="628"/>
    <w:next w:val="628"/>
    <w:link w:val="658"/>
    <w:uiPriority w:val="9"/>
    <w:pPr>
      <w:keepLines/>
      <w:keepNext/>
      <w:spacing w:before="200"/>
      <w:outlineLvl w:val="1"/>
    </w:pPr>
    <w:rPr>
      <w:rFonts w:ascii="Cambria" w:hAnsi="Cambria" w:eastAsia="Times New Roman"/>
      <w:bCs/>
      <w:color w:val="4f81bd"/>
      <w:sz w:val="26"/>
      <w:szCs w:val="26"/>
    </w:rPr>
  </w:style>
  <w:style w:type="paragraph" w:styleId="631">
    <w:name w:val="Heading 3"/>
    <w:basedOn w:val="628"/>
    <w:next w:val="628"/>
    <w:link w:val="659"/>
    <w:uiPriority w:val="9"/>
    <w:pPr>
      <w:keepLines/>
      <w:keepNext/>
      <w:spacing w:before="200"/>
      <w:outlineLvl w:val="2"/>
    </w:pPr>
    <w:rPr>
      <w:rFonts w:ascii="Cambria" w:hAnsi="Cambria" w:eastAsia="Times New Roman"/>
      <w:bCs/>
      <w:color w:val="4f81bd"/>
      <w:szCs w:val="20"/>
    </w:rPr>
  </w:style>
  <w:style w:type="paragraph" w:styleId="632">
    <w:name w:val="Heading 4"/>
    <w:basedOn w:val="628"/>
    <w:next w:val="628"/>
    <w:link w:val="660"/>
    <w:uiPriority w:val="9"/>
    <w:pPr>
      <w:keepLines/>
      <w:keepNext/>
      <w:spacing w:before="200"/>
      <w:outlineLvl w:val="3"/>
    </w:pPr>
    <w:rPr>
      <w:rFonts w:ascii="Cambria" w:hAnsi="Cambria" w:eastAsia="Times New Roman"/>
      <w:bCs/>
      <w:i/>
      <w:iCs/>
      <w:color w:val="4f81bd"/>
      <w:szCs w:val="20"/>
    </w:rPr>
  </w:style>
  <w:style w:type="paragraph" w:styleId="633">
    <w:name w:val="Heading 5"/>
    <w:basedOn w:val="628"/>
    <w:next w:val="628"/>
    <w:link w:val="661"/>
    <w:uiPriority w:val="9"/>
    <w:pPr>
      <w:keepLines/>
      <w:keepNext/>
      <w:spacing w:before="200"/>
      <w:outlineLvl w:val="4"/>
    </w:pPr>
    <w:rPr>
      <w:rFonts w:ascii="Cambria" w:hAnsi="Cambria" w:eastAsia="Times New Roman"/>
      <w:b w:val="0"/>
      <w:color w:val="243f60"/>
      <w:szCs w:val="20"/>
    </w:rPr>
  </w:style>
  <w:style w:type="paragraph" w:styleId="634">
    <w:name w:val="Heading 6"/>
    <w:basedOn w:val="628"/>
    <w:next w:val="628"/>
    <w:link w:val="662"/>
    <w:uiPriority w:val="9"/>
    <w:pPr>
      <w:keepLines/>
      <w:keepNext/>
      <w:spacing w:before="200"/>
      <w:outlineLvl w:val="5"/>
    </w:pPr>
    <w:rPr>
      <w:rFonts w:ascii="Cambria" w:hAnsi="Cambria" w:eastAsia="Times New Roman"/>
      <w:b w:val="0"/>
      <w:i/>
      <w:iCs/>
      <w:color w:val="243f60"/>
      <w:szCs w:val="20"/>
    </w:rPr>
  </w:style>
  <w:style w:type="paragraph" w:styleId="635">
    <w:name w:val="Heading 7"/>
    <w:basedOn w:val="628"/>
    <w:next w:val="628"/>
    <w:link w:val="663"/>
    <w:uiPriority w:val="9"/>
    <w:pPr>
      <w:keepLines/>
      <w:keepNext/>
      <w:spacing w:before="200"/>
      <w:outlineLvl w:val="6"/>
    </w:pPr>
    <w:rPr>
      <w:rFonts w:ascii="Cambria" w:hAnsi="Cambria" w:eastAsia="Times New Roman"/>
      <w:b w:val="0"/>
      <w:i/>
      <w:iCs/>
      <w:color w:val="404040"/>
      <w:szCs w:val="20"/>
    </w:rPr>
  </w:style>
  <w:style w:type="paragraph" w:styleId="636">
    <w:name w:val="Heading 8"/>
    <w:basedOn w:val="629"/>
    <w:next w:val="628"/>
    <w:link w:val="664"/>
    <w:uiPriority w:val="9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637">
    <w:name w:val="Heading 9"/>
    <w:basedOn w:val="628"/>
    <w:next w:val="628"/>
    <w:link w:val="665"/>
    <w:uiPriority w:val="9"/>
    <w:pPr>
      <w:keepLines/>
      <w:keepNext/>
      <w:spacing w:before="200" w:after="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paragraph" w:styleId="641" w:customStyle="1">
    <w:name w:val="2. Текст"/>
    <w:basedOn w:val="629"/>
    <w:link w:val="642"/>
    <w:qFormat/>
    <w:pPr>
      <w:spacing w:line="360" w:lineRule="auto"/>
      <w:framePr w:hSpace="180" w:wrap="around" w:vAnchor="text" w:hAnchor="margin" w:y="2158"/>
    </w:pPr>
  </w:style>
  <w:style w:type="character" w:styleId="642" w:customStyle="1">
    <w:name w:val="2. Текст Знак"/>
    <w:basedOn w:val="643"/>
    <w:link w:val="641"/>
    <w:rPr>
      <w:rFonts w:ascii="Times New Roman" w:hAnsi="Times New Roman" w:eastAsiaTheme="majorEastAsia" w:cstheme="majorBidi"/>
      <w:bCs/>
      <w:sz w:val="28"/>
      <w:szCs w:val="28"/>
    </w:rPr>
  </w:style>
  <w:style w:type="character" w:styleId="643" w:customStyle="1">
    <w:name w:val="Заголовок 1 Знак"/>
    <w:link w:val="629"/>
    <w:uiPriority w:val="9"/>
    <w:rPr>
      <w:rFonts w:ascii="Times New Roman" w:hAnsi="Times New Roman" w:eastAsiaTheme="majorEastAsia" w:cstheme="majorBidi"/>
      <w:bCs/>
      <w:sz w:val="28"/>
      <w:szCs w:val="28"/>
    </w:rPr>
  </w:style>
  <w:style w:type="paragraph" w:styleId="644" w:customStyle="1">
    <w:name w:val="1. Заголовок к тексту"/>
    <w:basedOn w:val="641"/>
    <w:link w:val="645"/>
    <w:qFormat/>
    <w:pPr>
      <w:ind w:firstLine="0"/>
      <w:jc w:val="center"/>
      <w:spacing w:before="480" w:after="480" w:line="240" w:lineRule="auto"/>
      <w:framePr w:wrap="around"/>
      <w:outlineLvl w:val="9"/>
    </w:pPr>
    <w:rPr>
      <w:b/>
    </w:rPr>
  </w:style>
  <w:style w:type="character" w:styleId="645" w:customStyle="1">
    <w:name w:val="1. Заголовок к тексту Знак"/>
    <w:basedOn w:val="642"/>
    <w:link w:val="644"/>
    <w:rPr>
      <w:rFonts w:ascii="Times New Roman" w:hAnsi="Times New Roman" w:eastAsiaTheme="majorEastAsia" w:cstheme="majorBidi"/>
      <w:b/>
      <w:bCs/>
      <w:sz w:val="28"/>
      <w:szCs w:val="28"/>
    </w:rPr>
  </w:style>
  <w:style w:type="paragraph" w:styleId="646" w:customStyle="1">
    <w:name w:val="3. Разрядка"/>
    <w:basedOn w:val="641"/>
    <w:link w:val="647"/>
    <w:qFormat/>
    <w:pPr>
      <w:framePr w:wrap="around"/>
      <w:outlineLvl w:val="9"/>
    </w:pPr>
    <w:rPr>
      <w:spacing w:val="40"/>
    </w:rPr>
  </w:style>
  <w:style w:type="character" w:styleId="647" w:customStyle="1">
    <w:name w:val="3. Разрядка Знак"/>
    <w:basedOn w:val="642"/>
    <w:link w:val="646"/>
    <w:rPr>
      <w:rFonts w:ascii="Times New Roman" w:hAnsi="Times New Roman" w:eastAsiaTheme="majorEastAsia" w:cstheme="majorBidi"/>
      <w:bCs/>
      <w:spacing w:val="40"/>
      <w:sz w:val="28"/>
      <w:szCs w:val="28"/>
    </w:rPr>
  </w:style>
  <w:style w:type="paragraph" w:styleId="648" w:customStyle="1">
    <w:name w:val="4. Нум 1."/>
    <w:basedOn w:val="641"/>
    <w:link w:val="649"/>
    <w:qFormat/>
    <w:pPr>
      <w:numPr>
        <w:ilvl w:val="0"/>
        <w:numId w:val="8"/>
      </w:numPr>
      <w:framePr w:wrap="around"/>
      <w:outlineLvl w:val="9"/>
    </w:pPr>
  </w:style>
  <w:style w:type="character" w:styleId="649" w:customStyle="1">
    <w:name w:val="4. Нум 1. Знак"/>
    <w:basedOn w:val="642"/>
    <w:link w:val="648"/>
    <w:rPr>
      <w:rFonts w:ascii="Times New Roman" w:hAnsi="Times New Roman" w:eastAsiaTheme="majorEastAsia" w:cstheme="majorBidi"/>
      <w:bCs/>
      <w:sz w:val="28"/>
      <w:szCs w:val="28"/>
    </w:rPr>
  </w:style>
  <w:style w:type="paragraph" w:styleId="650" w:customStyle="1">
    <w:name w:val="5. Нум. 1.1."/>
    <w:basedOn w:val="641"/>
    <w:link w:val="651"/>
    <w:qFormat/>
    <w:pPr>
      <w:framePr w:wrap="around"/>
      <w:outlineLvl w:val="9"/>
    </w:pPr>
  </w:style>
  <w:style w:type="character" w:styleId="651" w:customStyle="1">
    <w:name w:val="5. Нум. 1.1. Знак"/>
    <w:basedOn w:val="642"/>
    <w:link w:val="650"/>
    <w:rPr>
      <w:rFonts w:ascii="Times New Roman" w:hAnsi="Times New Roman" w:eastAsiaTheme="majorEastAsia" w:cstheme="majorBidi"/>
      <w:bCs/>
      <w:sz w:val="28"/>
      <w:szCs w:val="28"/>
    </w:rPr>
  </w:style>
  <w:style w:type="paragraph" w:styleId="652" w:customStyle="1">
    <w:name w:val="6. Нум. -"/>
    <w:basedOn w:val="650"/>
    <w:link w:val="653"/>
    <w:qFormat/>
    <w:pPr>
      <w:framePr w:wrap="around"/>
    </w:pPr>
  </w:style>
  <w:style w:type="character" w:styleId="653" w:customStyle="1">
    <w:name w:val="6. Нум. - Знак"/>
    <w:basedOn w:val="651"/>
    <w:link w:val="652"/>
    <w:rPr>
      <w:rFonts w:ascii="Times New Roman" w:hAnsi="Times New Roman" w:eastAsiaTheme="majorEastAsia" w:cstheme="majorBidi"/>
      <w:bCs/>
      <w:sz w:val="28"/>
      <w:szCs w:val="28"/>
    </w:rPr>
  </w:style>
  <w:style w:type="paragraph" w:styleId="654" w:customStyle="1">
    <w:name w:val="7. Должность"/>
    <w:basedOn w:val="656"/>
    <w:link w:val="655"/>
    <w:qFormat/>
  </w:style>
  <w:style w:type="character" w:styleId="655" w:customStyle="1">
    <w:name w:val="7. Должность Знак"/>
    <w:basedOn w:val="657"/>
    <w:link w:val="654"/>
    <w:rPr>
      <w:rFonts w:ascii="Times New Roman" w:hAnsi="Times New Roman" w:eastAsiaTheme="majorEastAsia" w:cstheme="majorBidi"/>
      <w:spacing w:val="5"/>
      <w:sz w:val="28"/>
      <w:szCs w:val="52"/>
    </w:rPr>
  </w:style>
  <w:style w:type="paragraph" w:styleId="656">
    <w:name w:val="Title"/>
    <w:basedOn w:val="628"/>
    <w:next w:val="628"/>
    <w:link w:val="657"/>
    <w:uiPriority w:val="10"/>
    <w:qFormat/>
    <w:pPr>
      <w:jc w:val="right"/>
      <w:spacing w:before="960" w:after="0" w:line="240" w:lineRule="auto"/>
    </w:pPr>
    <w:rPr>
      <w:rFonts w:eastAsiaTheme="majorEastAsia" w:cstheme="majorBidi"/>
      <w:b w:val="0"/>
      <w:spacing w:val="5"/>
      <w:szCs w:val="52"/>
    </w:rPr>
  </w:style>
  <w:style w:type="character" w:styleId="657" w:customStyle="1">
    <w:name w:val="Название Знак"/>
    <w:basedOn w:val="638"/>
    <w:link w:val="656"/>
    <w:uiPriority w:val="10"/>
    <w:rPr>
      <w:rFonts w:ascii="Times New Roman" w:hAnsi="Times New Roman" w:eastAsiaTheme="majorEastAsia" w:cstheme="majorBidi"/>
      <w:spacing w:val="5"/>
      <w:sz w:val="28"/>
      <w:szCs w:val="52"/>
    </w:rPr>
  </w:style>
  <w:style w:type="character" w:styleId="658" w:customStyle="1">
    <w:name w:val="Заголовок 2 Знак"/>
    <w:link w:val="630"/>
    <w:uiPriority w:val="9"/>
    <w:rPr>
      <w:rFonts w:ascii="Cambria" w:hAnsi="Cambria" w:eastAsia="Times New Roman"/>
      <w:b/>
      <w:bCs/>
      <w:color w:val="4f81bd"/>
      <w:sz w:val="26"/>
      <w:szCs w:val="26"/>
    </w:rPr>
  </w:style>
  <w:style w:type="character" w:styleId="659" w:customStyle="1">
    <w:name w:val="Заголовок 3 Знак"/>
    <w:link w:val="631"/>
    <w:uiPriority w:val="9"/>
    <w:rPr>
      <w:rFonts w:ascii="Cambria" w:hAnsi="Cambria" w:eastAsia="Times New Roman"/>
      <w:b/>
      <w:bCs/>
      <w:color w:val="4f81bd"/>
      <w:sz w:val="28"/>
    </w:rPr>
  </w:style>
  <w:style w:type="character" w:styleId="660" w:customStyle="1">
    <w:name w:val="Заголовок 4 Знак"/>
    <w:link w:val="632"/>
    <w:uiPriority w:val="9"/>
    <w:rPr>
      <w:rFonts w:ascii="Cambria" w:hAnsi="Cambria" w:eastAsia="Times New Roman"/>
      <w:b/>
      <w:bCs/>
      <w:i/>
      <w:iCs/>
      <w:color w:val="4f81bd"/>
      <w:sz w:val="28"/>
    </w:rPr>
  </w:style>
  <w:style w:type="character" w:styleId="661" w:customStyle="1">
    <w:name w:val="Заголовок 5 Знак"/>
    <w:link w:val="633"/>
    <w:uiPriority w:val="9"/>
    <w:rPr>
      <w:rFonts w:ascii="Cambria" w:hAnsi="Cambria" w:eastAsia="Times New Roman"/>
      <w:color w:val="243f60"/>
      <w:sz w:val="28"/>
    </w:rPr>
  </w:style>
  <w:style w:type="character" w:styleId="662" w:customStyle="1">
    <w:name w:val="Заголовок 6 Знак"/>
    <w:link w:val="634"/>
    <w:uiPriority w:val="9"/>
    <w:rPr>
      <w:rFonts w:ascii="Cambria" w:hAnsi="Cambria" w:eastAsia="Times New Roman"/>
      <w:i/>
      <w:iCs/>
      <w:color w:val="243f60"/>
      <w:sz w:val="28"/>
    </w:rPr>
  </w:style>
  <w:style w:type="character" w:styleId="663" w:customStyle="1">
    <w:name w:val="Заголовок 7 Знак"/>
    <w:link w:val="635"/>
    <w:uiPriority w:val="9"/>
    <w:rPr>
      <w:rFonts w:ascii="Cambria" w:hAnsi="Cambria" w:eastAsia="Times New Roman"/>
      <w:i/>
      <w:iCs/>
      <w:color w:val="404040"/>
      <w:sz w:val="28"/>
    </w:rPr>
  </w:style>
  <w:style w:type="character" w:styleId="664" w:customStyle="1">
    <w:name w:val="Заголовок 8 Знак"/>
    <w:link w:val="636"/>
    <w:uiPriority w:val="9"/>
    <w:rPr>
      <w:rFonts w:ascii="Times New Roman" w:hAnsi="Times New Roman" w:eastAsia="Times New Roman"/>
      <w:bCs/>
      <w:color w:val="000000"/>
      <w:sz w:val="28"/>
    </w:rPr>
  </w:style>
  <w:style w:type="character" w:styleId="665" w:customStyle="1">
    <w:name w:val="Заголовок 9 Знак"/>
    <w:link w:val="637"/>
    <w:uiPriority w:val="9"/>
    <w:rPr>
      <w:rFonts w:ascii="Cambria" w:hAnsi="Cambria" w:eastAsia="Times New Roman"/>
      <w:b/>
      <w:i/>
      <w:iCs/>
      <w:color w:val="404040"/>
    </w:rPr>
  </w:style>
  <w:style w:type="paragraph" w:styleId="666">
    <w:name w:val="Subtitle"/>
    <w:basedOn w:val="628"/>
    <w:next w:val="628"/>
    <w:link w:val="667"/>
    <w:uiPriority w:val="11"/>
    <w:qFormat/>
    <w:pPr>
      <w:numPr>
        <w:ilvl w:val="1"/>
      </w:numPr>
      <w:jc w:val="left"/>
      <w:spacing w:before="0" w:after="0" w:line="240" w:lineRule="auto"/>
    </w:pPr>
    <w:rPr>
      <w:rFonts w:eastAsiaTheme="majorEastAsia" w:cstheme="majorBidi"/>
      <w:b w:val="0"/>
      <w:iCs/>
      <w:sz w:val="24"/>
      <w:szCs w:val="24"/>
    </w:rPr>
  </w:style>
  <w:style w:type="character" w:styleId="667" w:customStyle="1">
    <w:name w:val="Подзаголовок Знак"/>
    <w:basedOn w:val="638"/>
    <w:link w:val="666"/>
    <w:uiPriority w:val="11"/>
    <w:rPr>
      <w:rFonts w:ascii="Times New Roman" w:hAnsi="Times New Roman" w:eastAsiaTheme="majorEastAsia" w:cstheme="majorBidi"/>
      <w:iCs/>
      <w:sz w:val="24"/>
      <w:szCs w:val="24"/>
    </w:rPr>
  </w:style>
  <w:style w:type="paragraph" w:styleId="668">
    <w:name w:val="List Paragraph"/>
    <w:basedOn w:val="628"/>
    <w:uiPriority w:val="34"/>
    <w:pPr>
      <w:ind w:left="720"/>
    </w:pPr>
  </w:style>
  <w:style w:type="character" w:styleId="669">
    <w:name w:val="Hyperlink"/>
    <w:basedOn w:val="638"/>
    <w:uiPriority w:val="99"/>
    <w:unhideWhenUsed/>
    <w:rPr>
      <w:color w:val="0000ff"/>
      <w:u w:val="single"/>
    </w:rPr>
  </w:style>
  <w:style w:type="paragraph" w:styleId="670">
    <w:name w:val="Normal (Web)"/>
    <w:basedOn w:val="628"/>
    <w:uiPriority w:val="99"/>
    <w:semiHidden/>
    <w:unhideWhenUsed/>
    <w:pPr>
      <w:jc w:val="left"/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671">
    <w:name w:val="Balloon Text"/>
    <w:basedOn w:val="628"/>
    <w:link w:val="672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672" w:customStyle="1">
    <w:name w:val="Текст выноски Знак"/>
    <w:basedOn w:val="638"/>
    <w:link w:val="671"/>
    <w:uiPriority w:val="99"/>
    <w:semiHidden/>
    <w:rPr>
      <w:rFonts w:ascii="Tahoma" w:hAnsi="Tahoma" w:cs="Tahoma"/>
      <w:b/>
      <w:sz w:val="16"/>
      <w:szCs w:val="16"/>
    </w:rPr>
  </w:style>
  <w:style w:type="paragraph" w:styleId="67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74" w:customStyle="1">
    <w:name w:val="Абзац"/>
    <w:basedOn w:val="628"/>
    <w:pPr>
      <w:ind w:firstLine="709"/>
      <w:jc w:val="both"/>
      <w:spacing w:before="0" w:after="0" w:line="240" w:lineRule="auto"/>
    </w:pPr>
    <w:rPr>
      <w:rFonts w:eastAsia="Times New Roman" w:cs="Times New Roman"/>
      <w:b w:val="0"/>
      <w:sz w:val="26"/>
      <w:szCs w:val="20"/>
      <w:lang w:eastAsia="ru-RU"/>
    </w:rPr>
  </w:style>
  <w:style w:type="paragraph" w:styleId="675" w:customStyle="1">
    <w:name w:val="headertext"/>
    <w:basedOn w:val="628"/>
    <w:pPr>
      <w:jc w:val="left"/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paragraph" w:styleId="676" w:customStyle="1">
    <w:name w:val="formattext"/>
    <w:basedOn w:val="628"/>
    <w:pPr>
      <w:jc w:val="left"/>
      <w:spacing w:before="100" w:beforeAutospacing="1" w:after="100" w:afterAutospacing="1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character" w:styleId="677" w:customStyle="1">
    <w:name w:val="markedcontent"/>
    <w:basedOn w:val="638"/>
  </w:style>
  <w:style w:type="paragraph" w:styleId="678" w:customStyle="1">
    <w:name w:val=".FORMATTEXT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docs.cntd.ru/document/1304469362" TargetMode="External"/><Relationship Id="rId10" Type="http://schemas.openxmlformats.org/officeDocument/2006/relationships/hyperlink" Target="http://docs.cntd.ru/document/1304469362" TargetMode="External"/><Relationship Id="rId11" Type="http://schemas.openxmlformats.org/officeDocument/2006/relationships/hyperlink" Target="http://docs.cntd.ru/document/728461969" TargetMode="External"/><Relationship Id="rId12" Type="http://schemas.openxmlformats.org/officeDocument/2006/relationships/hyperlink" Target="http://docs.cntd.ru/document/1304469362" TargetMode="External"/><Relationship Id="rId13" Type="http://schemas.openxmlformats.org/officeDocument/2006/relationships/hyperlink" Target="http://docs.cntd.ru/document/728461969" TargetMode="External"/><Relationship Id="rId14" Type="http://schemas.openxmlformats.org/officeDocument/2006/relationships/hyperlink" Target="http://docs.cntd.ru/document/728461969" TargetMode="External"/><Relationship Id="rId15" Type="http://schemas.openxmlformats.org/officeDocument/2006/relationships/hyperlink" Target="http://docs.cntd.ru/document/728461969" TargetMode="External"/><Relationship Id="rId16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1807664" TargetMode="External"/><Relationship Id="rId18" Type="http://schemas.openxmlformats.org/officeDocument/2006/relationships/hyperlink" Target="http://docs.cntd.ru/document/901807664" TargetMode="External"/><Relationship Id="rId19" Type="http://schemas.openxmlformats.org/officeDocument/2006/relationships/hyperlink" Target="http://docs.cntd.ru/document/565995401" TargetMode="External"/><Relationship Id="rId20" Type="http://schemas.openxmlformats.org/officeDocument/2006/relationships/hyperlink" Target="https://login.consultant.ru/link/?req=doc&amp;base=LAW&amp;n=492493&amp;dst=100009&amp;demo=1" TargetMode="External"/><Relationship Id="rId21" Type="http://schemas.openxmlformats.org/officeDocument/2006/relationships/hyperlink" Target="https://login.consultant.ru/link/?req=doc&amp;base=LAW&amp;n=492493&amp;dst=100011&amp;demo=1" TargetMode="External"/><Relationship Id="rId22" Type="http://schemas.openxmlformats.org/officeDocument/2006/relationships/hyperlink" Target="https://login.consultant.ru/link/?req=doc&amp;base=LAW&amp;n=492493&amp;dst=100023&amp;demo=1" TargetMode="External"/><Relationship Id="rId23" Type="http://schemas.openxmlformats.org/officeDocument/2006/relationships/hyperlink" Target="https://login.consultant.ru/link/?req=doc&amp;base=LAW&amp;n=492493&amp;dst=100052&amp;demo=1" TargetMode="External"/><Relationship Id="rId24" Type="http://schemas.openxmlformats.org/officeDocument/2006/relationships/hyperlink" Target="https://login.consultant.ru/link/?req=doc&amp;base=LAW&amp;n=439185&amp;dst=100116&amp;demo=1" TargetMode="External"/><Relationship Id="rId25" Type="http://schemas.openxmlformats.org/officeDocument/2006/relationships/hyperlink" Target="https://login.consultant.ru/link/?req=doc&amp;base=LAW&amp;n=492493&amp;dst=100070&amp;demo=1" TargetMode="External"/><Relationship Id="rId26" Type="http://schemas.openxmlformats.org/officeDocument/2006/relationships/hyperlink" Target="https://login.consultant.ru/link/?req=doc&amp;base=LAW&amp;n=439185&amp;dst=9&amp;demo=1" TargetMode="External"/><Relationship Id="rId27" Type="http://schemas.openxmlformats.org/officeDocument/2006/relationships/hyperlink" Target="https://login.consultant.ru/link/?req=doc&amp;base=LAW&amp;n=492493&amp;dst=100083&amp;demo=1" TargetMode="External"/><Relationship Id="rId28" Type="http://schemas.openxmlformats.org/officeDocument/2006/relationships/hyperlink" Target="https://login.consultant.ru/link/?req=doc&amp;base=LAW&amp;n=492493&amp;dst=100072&amp;demo=1" TargetMode="External"/><Relationship Id="rId29" Type="http://schemas.openxmlformats.org/officeDocument/2006/relationships/hyperlink" Target="https://login.consultant.ru/link/?req=doc&amp;base=LAW&amp;n=439185&amp;dst=100127&amp;demo=1" TargetMode="External"/><Relationship Id="rId30" Type="http://schemas.openxmlformats.org/officeDocument/2006/relationships/hyperlink" Target="https://login.consultant.ru/link/?req=doc&amp;base=LAW&amp;n=492493&amp;dst=100067&amp;demo=1" TargetMode="External"/><Relationship Id="rId31" Type="http://schemas.openxmlformats.org/officeDocument/2006/relationships/hyperlink" Target="https://login.consultant.ru/link/?req=doc&amp;base=LAW&amp;n=492493&amp;dst=100055&amp;demo=1" TargetMode="External"/><Relationship Id="rId32" Type="http://schemas.openxmlformats.org/officeDocument/2006/relationships/hyperlink" Target="https://login.consultant.ru/link/?req=doc&amp;base=LAW&amp;n=492493&amp;dst=100092&amp;demo=1" TargetMode="External"/><Relationship Id="rId33" Type="http://schemas.openxmlformats.org/officeDocument/2006/relationships/hyperlink" Target="http://www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Байтлесова СВ</dc:creator>
  <cp:lastModifiedBy>KKrushelnickaya</cp:lastModifiedBy>
  <cp:revision>3</cp:revision>
  <dcterms:created xsi:type="dcterms:W3CDTF">2024-07-29T06:33:00Z</dcterms:created>
  <dcterms:modified xsi:type="dcterms:W3CDTF">2025-02-17T06:13:20Z</dcterms:modified>
</cp:coreProperties>
</file>